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  <Default Extension="xlsx" ContentType="application/octet-stream"> </Default>
  <Override PartName="/word/charts/chart28058366.xml" ContentType="application/vnd.openxmlformats-officedocument.drawingml.chart+xml"/>
  <Override PartName="/word/charts/chart28058367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FFFC"/>
  <w:body>
    <w:p>
      <w:pPr>
        <w:rPr/>
      </w:pPr>
      <w:r>
        <w:rPr>
          <w:noProof/>
        </w:rPr>
        <w:drawing>
          <wp:anchor distT="0" distB="0" distL="0" distR="0" simplePos="0" relativeHeight="0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2215896" cy="1502664"/>
            <wp:effectExtent l="0" t="30480" r="0" b="0"/>
            <wp:wrapTopAndBottom/>
            <wp:docPr id="96148523" name="0 Imagen" descr="../files/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files/tree.jpg"/>
                    <pic:cNvPicPr/>
                  </pic:nvPicPr>
                  <pic:blipFill>
                    <a:blip r:embed="rId280583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5896" cy="1502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br w:type="textWrapping"/>
      </w:r>
    </w:p>
    <w:p>
      <w:pPr>
        <w:rPr/>
      </w:pPr>
      <w:r>
        <w:rPr>
          <w:rFonts w:ascii="Century Gothic" w:hAnsi="Century Gothic" w:cs="Century Gothic"/>
          <w:sz w:val="96"/>
          <w:szCs w:val="96"/>
          <w:color w:val="5AAD45"/>
        </w:rPr>
        <w:t xml:space="preserve">Satisfaction</w:t>
        <w:br/>
      </w:r>
      <w:r>
        <w:rPr>
          <w:rFonts w:ascii="Century Gothic" w:hAnsi="Century Gothic" w:cs="Century Gothic"/>
          <w:sz w:val="96"/>
          <w:szCs w:val="96"/>
          <w:color w:val="5AAD45"/>
        </w:rPr>
        <w:t xml:space="preserve">Survey Report</w:t>
        <w:br/>
      </w:r>
      <w:r>
        <w:rPr>
          <w:rFonts w:ascii="Garamond" w:hAnsi="Garamond" w:cs="Garamond"/>
          <w:b w:val="on"/>
          <w:bCs w:val="on"/>
          <w:color w:val="6E706E"/>
          <w:sz w:val="32"/>
          <w:szCs w:val="32"/>
        </w:rPr>
        <w:fldChar w:fldCharType="begin"/>
      </w:r>
      <w:r>
        <w:rPr>
          <w:rFonts w:ascii="Garamond" w:hAnsi="Garamond" w:cs="Garamond"/>
          <w:b w:val="on"/>
          <w:bCs w:val="on"/>
          <w:color w:val="6E706E"/>
          <w:sz w:val="32"/>
          <w:szCs w:val="32"/>
        </w:rPr>
        <w:instrText xml:space="preserve">TIME \@ "MMMM, d, yyyy"</w:instrText>
      </w:r>
      <w:r>
        <w:rPr>
          <w:rFonts w:ascii="Garamond" w:hAnsi="Garamond" w:cs="Garamond"/>
          <w:b w:val="on"/>
          <w:bCs w:val="on"/>
          <w:color w:val="6E706E"/>
          <w:sz w:val="32"/>
          <w:szCs w:val="32"/>
        </w:rPr>
        <w:fldChar w:fldCharType="separate"/>
      </w:r>
      <w:r>
        <w:rPr>
          <w:rFonts w:ascii="Garamond" w:hAnsi="Garamond" w:cs="Garamond"/>
          <w:b w:val="on"/>
          <w:bCs w:val="on"/>
          <w:color w:val="6E706E"/>
          <w:sz w:val="32"/>
          <w:szCs w:val="32"/>
        </w:rPr>
        <w:t>date</w:t>
      </w:r>
      <w:r>
        <w:rPr>
          <w:rFonts w:ascii="Garamond" w:hAnsi="Garamond" w:cs="Garamond"/>
          <w:b w:val="on"/>
          <w:bCs w:val="on"/>
          <w:color w:val="6E706E"/>
          <w:sz w:val="32"/>
          <w:szCs w:val="32"/>
        </w:rPr>
        <w:fldChar w:fldCharType="end"/>
      </w:r>
    </w:p>
    <w:p>
      <w:r>
        <w:br w:type="page"/>
      </w:r>
    </w:p>
    <w:p>
      <w:pPr>
        <w:rPr/>
      </w:pPr>
      <w:r>
        <w:rPr>
          <w:rFonts w:ascii="Garamond" w:hAnsi="Garamond" w:cs="Garamond"/>
          <w:sz w:val="40"/>
          <w:szCs w:val="40"/>
          <w:color w:val="5AAD45"/>
        </w:rPr>
        <w:t xml:space="preserve">Demographics</w:t>
      </w:r>
    </w:p>
    <w:p>
      <w:r>
        <w:pict>
          <v:rect style="width:500pt;height:0pt;z-index:73371;" fillcolor="#A8F0AA" strokecolor="#A8F0AA"/>
        </w:pict>
      </w:r>
    </w:p>
    <w:p>
      <w:pPr>
        <w:rPr/>
      </w:pPr>
      <w:r>
        <w:rPr>
          <w:rFonts w:ascii="Century Gothic" w:hAnsi="Century Gothic" w:cs="Century Gothic"/>
          <w:sz w:val="20"/>
          <w:szCs w:val="20"/>
        </w:rPr>
        <w:t xml:space="preserve">Survey responses of the last week are broken out by several demographic categories, as follows:</w:t>
        <w:br/>
      </w:r>
    </w:p>
    <w:p>
      <w:pPr>
        <w:pStyle w:val="ListParagraphPHPDOCX"/>
        <w:numPr>
          <w:ilvl w:val="0"/>
          <w:numId w:val="1"/>
        </w:numPr>
      </w:pPr>
      <w:r>
        <w:rPr>
          <w:rFonts w:ascii="Century Gothic" w:hAnsi="Century Gothic" w:cs="Century Gothic"/>
          <w:sz w:val="20"/>
          <w:szCs w:val="20"/>
        </w:rPr>
        <w:t xml:space="preserve">The percentage of respondents are broken out by:</w:t>
      </w:r>
    </w:p>
    <w:p>
      <w:pPr>
        <w:pStyle w:val="ListParagraphPHPDOCX"/>
        <w:numPr>
          <w:ilvl w:val="1"/>
          <w:numId w:val="1"/>
        </w:numPr>
      </w:pPr>
      <w:r>
        <w:rPr>
          <w:rFonts w:ascii="Century Gothic" w:hAnsi="Century Gothic" w:cs="Century Gothic"/>
          <w:sz w:val="20"/>
          <w:szCs w:val="20"/>
        </w:rPr>
        <w:t xml:space="preserve">Under age 18</w:t>
      </w:r>
    </w:p>
    <w:p>
      <w:pPr>
        <w:pStyle w:val="ListParagraphPHPDOCX"/>
        <w:numPr>
          <w:ilvl w:val="1"/>
          <w:numId w:val="1"/>
        </w:numPr>
      </w:pPr>
      <w:r>
        <w:rPr>
          <w:rFonts w:ascii="Century Gothic" w:hAnsi="Century Gothic" w:cs="Century Gothic"/>
          <w:sz w:val="20"/>
          <w:szCs w:val="20"/>
        </w:rPr>
        <w:t xml:space="preserve">Age 18 to 44</w:t>
      </w:r>
    </w:p>
    <w:p>
      <w:pPr>
        <w:pStyle w:val="ListParagraphPHPDOCX"/>
        <w:numPr>
          <w:ilvl w:val="1"/>
          <w:numId w:val="1"/>
        </w:numPr>
      </w:pPr>
      <w:r>
        <w:rPr>
          <w:rFonts w:ascii="Century Gothic" w:hAnsi="Century Gothic" w:cs="Century Gothic"/>
          <w:sz w:val="20"/>
          <w:szCs w:val="20"/>
        </w:rPr>
        <w:t xml:space="preserve">Age 45 to 64</w:t>
      </w:r>
    </w:p>
    <w:p>
      <w:pPr>
        <w:pStyle w:val="ListParagraphPHPDOCX"/>
        <w:numPr>
          <w:ilvl w:val="1"/>
          <w:numId w:val="1"/>
        </w:numPr>
      </w:pPr>
      <w:r>
        <w:rPr>
          <w:rFonts w:ascii="Century Gothic" w:hAnsi="Century Gothic" w:cs="Century Gothic"/>
          <w:sz w:val="20"/>
          <w:szCs w:val="20"/>
        </w:rPr>
        <w:t xml:space="preserve">Age 65 and above</w:t>
      </w:r>
    </w:p>
    <w:p>
      <w:pPr>
        <w:pStyle w:val="ListParagraphPHPDOCX"/>
        <w:numPr>
          <w:ilvl w:val="0"/>
          <w:numId w:val="1"/>
        </w:numPr>
      </w:pPr>
      <w:r>
        <w:rPr>
          <w:rFonts w:ascii="Century Gothic" w:hAnsi="Century Gothic" w:cs="Century Gothic"/>
          <w:sz w:val="20"/>
          <w:szCs w:val="20"/>
        </w:rPr>
        <w:t xml:space="preserve">Gender</w:t>
      </w:r>
    </w:p>
    <w:p>
      <w:pPr>
        <w:pStyle w:val="ListParagraphPHPDOCX"/>
        <w:numPr>
          <w:ilvl w:val="0"/>
          <w:numId w:val="1"/>
        </w:numPr>
      </w:pPr>
      <w:r>
        <w:rPr>
          <w:sz w:val="20"/>
          <w:szCs w:val="20"/>
        </w:rPr>
        <w:t xml:space="preserve">Education level</w:t>
      </w:r>
    </w:p>
    <w:p>
      <w:pPr>
        <w:jc w:val="center"/>
      </w:pPr>
      <w:r>
        <w:rPr>
          <w:noProof/>
        </w:rPr>
        <w:drawing>
          <wp:inline distT="0" distB="0" distL="0" distR="0">
            <wp:extent cx="6120000" cy="2520000"/>
            <wp:effectExtent l="19050" t="0" r="4307" b="0"/>
            <wp:docPr id="635657374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058366"/>
              </a:graphicData>
            </a:graphic>
          </wp:inline>
        </w:drawing>
      </w:r>
    </w:p>
    <w:p>
      <w:pPr>
        <w:jc w:val="center"/>
      </w:pPr>
      <w:r>
        <w:rPr>
          <w:noProof/>
        </w:rPr>
        <w:drawing>
          <wp:inline distT="0" distB="0" distL="0" distR="0">
            <wp:extent cx="2993296" cy="2238233"/>
            <wp:effectExtent l="19050" t="0" r="4307" b="0"/>
            <wp:docPr id="751340316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058367"/>
              </a:graphicData>
            </a:graphic>
          </wp:inline>
        </w:drawing>
      </w:r>
    </w:p>
    <w:p>
      <w:r>
        <w:br w:type="page"/>
      </w:r>
    </w:p>
    <w:p>
      <w:pPr>
        <w:rPr/>
      </w:pPr>
      <w:r>
        <w:rPr>
          <w:rFonts w:ascii="Garamond" w:hAnsi="Garamond" w:cs="Garamond"/>
          <w:sz w:val="40"/>
          <w:szCs w:val="40"/>
          <w:color w:val="5AAD45"/>
        </w:rPr>
        <w:t xml:space="preserve">Survey Results</w:t>
      </w:r>
    </w:p>
    <w:p>
      <w:r>
        <w:pict>
          <v:rect style="width:500pt;height:0pt;z-index:7257;" fillcolor="#A8F0AA" strokecolor="#A8F0AA"/>
        </w:pict>
      </w:r>
    </w:p>
    <w:p>
      <w:r>
        <w:br w:type="textWrapping"/>
      </w:r>
    </w:p>
    <w:p>
      <w:pPr>
        <w:rPr/>
      </w:pPr>
      <w:r>
        <w:rPr>
          <w:rFonts w:ascii="Century Gothic" w:hAnsi="Century Gothic" w:cs="Century Gothic"/>
          <w:b w:val="on"/>
          <w:bCs w:val="on"/>
          <w:sz w:val="20"/>
          <w:szCs w:val="20"/>
        </w:rPr>
        <w:t xml:space="preserve">&gt; Method of contact</w:t>
        <w:br/>
      </w:r>
    </w:p>
    <w:tbl>
      <w:tblPr>
        <w:tblStyle w:val="TableGridPHPDOCX"/>
        <w:tblOverlap w:val="never"/>
        <w:tblW w:w="0" w:type="auto"/>
        <w:jc w:val="center"/>
        <w:tblBorders>
          <w:top w:val="single" w:sz="1" w:space="0" w:color="#C5CBD4"/>
          <w:left w:val="single" w:sz="1" w:space="0" w:color="#C5CBD4"/>
          <w:bottom w:val="single" w:sz="1" w:space="0" w:color="#C5CBD4"/>
          <w:right w:val="single" w:sz="1" w:space="0" w:color="#C5CBD4"/>
          <w:insideH w:val="single" w:sz="1" w:space="0" w:color="#C5CBD4"/>
          <w:insideV w:val="single" w:sz="1" w:space="0" w:color="#C5CBD4"/>
        </w:tblBorders>
      </w:tblPr>
      <w:tblGrid>
        <w:gridCol w:w="4000"/>
        <w:gridCol w:w="4000"/>
      </w:tblGrid>
      <w:tr>
        <w:trPr/>
        <w:tc>
          <w:tcPr>
            <w:tcW w:w="4000" w:type="dxa"/>
            <w:tcBorders>
              <w:bottom w:val="single" w:color="ffffff" w:sz="6" w:space="0"/>
            </w:tcBorders>
            <w:shd w:val="clear" w:fill="448A2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/>
            </w:pPr>
            <w:r>
              <w:rPr>
                <w:rFonts w:ascii="Century Gothic" w:hAnsi="Century Gothic" w:cs="Century Gothic"/>
                <w:sz w:val="16"/>
                <w:szCs w:val="16"/>
                <w:color w:val="ffffff"/>
              </w:rPr>
              <w:t xml:space="preserve">Response</w:t>
            </w:r>
          </w:p>
        </w:tc>
        <w:tc>
          <w:tcPr>
            <w:tcW w:w="4000" w:type="dxa"/>
            <w:tcBorders>
              <w:bottom w:val="single" w:color="ffffff" w:sz="6" w:space="0"/>
            </w:tcBorders>
            <w:shd w:val="clear" w:fill="448A2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/>
            </w:pPr>
            <w:r>
              <w:rPr>
                <w:rFonts w:ascii="Century Gothic" w:hAnsi="Century Gothic" w:cs="Century Gothic"/>
                <w:sz w:val="16"/>
                <w:szCs w:val="16"/>
                <w:color w:val="ffffff"/>
              </w:rPr>
              <w:t xml:space="preserve">Count</w:t>
            </w:r>
          </w:p>
        </w:tc>
      </w:tr>
      <w:tr>
        <w:trPr/>
        <w:tc>
          <w:tcPr>
            <w:tcBorders>
              <w:bottom w:val="single" w:color="DAE2F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/>
            </w:pPr>
            <w:r>
              <w:rPr>
                <w:rFonts w:ascii="Century Gothic" w:hAnsi="Century Gothic" w:cs="Century Gothic"/>
                <w:sz w:val="16"/>
                <w:szCs w:val="16"/>
              </w:rPr>
              <w:t xml:space="preserve">Telephone</w:t>
            </w:r>
          </w:p>
        </w:tc>
        <w:tc>
          <w:tcPr>
            <w:tcBorders>
              <w:bottom w:val="single" w:color="DAE2F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/>
            </w:pPr>
            <w:r>
              <w:rPr>
                <w:rFonts w:ascii="Century Gothic" w:hAnsi="Century Gothic" w:cs="Century Gothic"/>
                <w:sz w:val="16"/>
                <w:szCs w:val="16"/>
              </w:rPr>
              <w:t xml:space="preserve">188</w:t>
            </w:r>
          </w:p>
        </w:tc>
      </w:tr>
      <w:tr>
        <w:trPr/>
        <w:tc>
          <w:tcPr>
            <w:tcBorders>
              <w:bottom w:val="single" w:color="ffffff" w:sz="6" w:space="0"/>
            </w:tcBorders>
            <w:shd w:val="clear" w:fill="DAE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/>
            </w:pPr>
            <w:r>
              <w:rPr>
                <w:rFonts w:ascii="Century Gothic" w:hAnsi="Century Gothic" w:cs="Century Gothic"/>
                <w:sz w:val="16"/>
                <w:szCs w:val="16"/>
              </w:rPr>
              <w:t xml:space="preserve">Live online chat</w:t>
            </w:r>
          </w:p>
        </w:tc>
        <w:tc>
          <w:tcPr>
            <w:tcBorders>
              <w:bottom w:val="single" w:color="ffffff" w:sz="6" w:space="0"/>
            </w:tcBorders>
            <w:shd w:val="clear" w:fill="DAE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/>
            </w:pPr>
            <w:r>
              <w:rPr>
                <w:rFonts w:ascii="Century Gothic" w:hAnsi="Century Gothic" w:cs="Century Gothic"/>
                <w:sz w:val="16"/>
                <w:szCs w:val="16"/>
              </w:rPr>
              <w:t xml:space="preserve">36</w:t>
            </w:r>
          </w:p>
        </w:tc>
      </w:tr>
      <w:tr>
        <w:trPr/>
        <w:tc>
          <w:tcPr>
            <w:tcBorders>
              <w:bottom w:val="single" w:color="DAE2F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/>
            </w:pPr>
            <w:r>
              <w:rPr>
                <w:rFonts w:ascii="Century Gothic" w:hAnsi="Century Gothic" w:cs="Century Gothic"/>
                <w:sz w:val="16"/>
                <w:szCs w:val="16"/>
              </w:rPr>
              <w:t xml:space="preserve">In person</w:t>
            </w:r>
          </w:p>
        </w:tc>
        <w:tc>
          <w:tcPr>
            <w:tcBorders>
              <w:bottom w:val="single" w:color="DAE2F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/>
            </w:pPr>
            <w:r>
              <w:rPr>
                <w:rFonts w:ascii="Century Gothic" w:hAnsi="Century Gothic" w:cs="Century Gothic"/>
                <w:sz w:val="16"/>
                <w:szCs w:val="16"/>
              </w:rPr>
              <w:t xml:space="preserve">99</w:t>
            </w:r>
          </w:p>
        </w:tc>
      </w:tr>
      <w:tr>
        <w:trPr/>
        <w:tc>
          <w:tcPr>
            <w:shd w:val="clear" w:fill="DAE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/>
            </w:pPr>
            <w:r>
              <w:rPr>
                <w:rFonts w:ascii="Century Gothic" w:hAnsi="Century Gothic" w:cs="Century Gothic"/>
                <w:sz w:val="16"/>
                <w:szCs w:val="16"/>
              </w:rPr>
              <w:t xml:space="preserve">No response</w:t>
            </w:r>
          </w:p>
        </w:tc>
        <w:tc>
          <w:tcPr>
            <w:shd w:val="clear" w:fill="DAE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/>
            </w:pPr>
            <w:r>
              <w:rPr>
                <w:rFonts w:ascii="Century Gothic" w:hAnsi="Century Gothic" w:cs="Century Gothic"/>
                <w:sz w:val="16"/>
                <w:szCs w:val="16"/>
              </w:rPr>
              <w:t xml:space="preserve">2</w:t>
            </w:r>
          </w:p>
        </w:tc>
      </w:tr>
    </w:tbl>
    <w:p>
      <w:r>
        <w:br w:type="textWrapping"/>
      </w:r>
    </w:p>
    <w:p>
      <w:pPr>
        <w:rPr/>
      </w:pPr>
      <w:r>
        <w:rPr>
          <w:rFonts w:ascii="Century Gothic" w:hAnsi="Century Gothic" w:cs="Century Gothic"/>
          <w:b w:val="on"/>
          <w:bCs w:val="on"/>
          <w:sz w:val="20"/>
          <w:szCs w:val="20"/>
        </w:rPr>
        <w:t xml:space="preserve">&gt; Wait time</w:t>
        <w:br/>
      </w:r>
    </w:p>
    <w:tbl>
      <w:tblPr>
        <w:tblStyle w:val="TableGridPHPDOCX"/>
        <w:tblOverlap w:val="never"/>
        <w:tblW w:w="0" w:type="auto"/>
        <w:jc w:val="center"/>
        <w:tblBorders>
          <w:top w:val="single" w:sz="1" w:space="0" w:color="#C5CBD4"/>
          <w:left w:val="single" w:sz="1" w:space="0" w:color="#C5CBD4"/>
          <w:bottom w:val="single" w:sz="1" w:space="0" w:color="#C5CBD4"/>
          <w:right w:val="single" w:sz="1" w:space="0" w:color="#C5CBD4"/>
          <w:insideH w:val="single" w:sz="1" w:space="0" w:color="#C5CBD4"/>
          <w:insideV w:val="single" w:sz="1" w:space="0" w:color="#C5CBD4"/>
        </w:tblBorders>
      </w:tblPr>
      <w:tblGrid>
        <w:gridCol w:w="4000"/>
        <w:gridCol w:w="4000"/>
      </w:tblGrid>
      <w:tr>
        <w:trPr/>
        <w:tc>
          <w:tcPr>
            <w:tcW w:w="4000" w:type="dxa"/>
            <w:tcBorders>
              <w:bottom w:val="single" w:color="ffffff" w:sz="6" w:space="0"/>
            </w:tcBorders>
            <w:shd w:val="clear" w:fill="448A2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/>
            </w:pPr>
            <w:r>
              <w:rPr>
                <w:rFonts w:ascii="Century Gothic" w:hAnsi="Century Gothic" w:cs="Century Gothic"/>
                <w:sz w:val="16"/>
                <w:szCs w:val="16"/>
                <w:color w:val="ffffff"/>
              </w:rPr>
              <w:t xml:space="preserve">Response</w:t>
            </w:r>
          </w:p>
        </w:tc>
        <w:tc>
          <w:tcPr>
            <w:tcW w:w="4000" w:type="dxa"/>
            <w:tcBorders>
              <w:bottom w:val="single" w:color="ffffff" w:sz="6" w:space="0"/>
            </w:tcBorders>
            <w:shd w:val="clear" w:fill="448A2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/>
            </w:pPr>
            <w:r>
              <w:rPr>
                <w:rFonts w:ascii="Century Gothic" w:hAnsi="Century Gothic" w:cs="Century Gothic"/>
                <w:sz w:val="16"/>
                <w:szCs w:val="16"/>
                <w:color w:val="ffffff"/>
              </w:rPr>
              <w:t xml:space="preserve">Count</w:t>
            </w:r>
          </w:p>
        </w:tc>
      </w:tr>
      <w:tr>
        <w:trPr/>
        <w:tc>
          <w:tcPr>
            <w:tcBorders>
              <w:bottom w:val="single" w:color="DAE2F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/>
            </w:pPr>
            <w:r>
              <w:rPr>
                <w:rFonts w:ascii="Century Gothic" w:hAnsi="Century Gothic" w:cs="Century Gothic"/>
                <w:sz w:val="16"/>
                <w:szCs w:val="16"/>
              </w:rPr>
              <w:t xml:space="preserve">None</w:t>
            </w:r>
          </w:p>
        </w:tc>
        <w:tc>
          <w:tcPr>
            <w:tcBorders>
              <w:bottom w:val="single" w:color="DAE2F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/>
            </w:pPr>
            <w:r>
              <w:rPr>
                <w:rFonts w:ascii="Century Gothic" w:hAnsi="Century Gothic" w:cs="Century Gothic"/>
                <w:sz w:val="16"/>
                <w:szCs w:val="16"/>
              </w:rPr>
              <w:t xml:space="preserve">18</w:t>
            </w:r>
          </w:p>
        </w:tc>
      </w:tr>
      <w:tr>
        <w:trPr/>
        <w:tc>
          <w:tcPr>
            <w:tcBorders>
              <w:bottom w:val="single" w:color="ffffff" w:sz="6" w:space="0"/>
            </w:tcBorders>
            <w:shd w:val="clear" w:fill="DAE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/>
            </w:pPr>
            <w:r>
              <w:rPr>
                <w:rFonts w:ascii="Century Gothic" w:hAnsi="Century Gothic" w:cs="Century Gothic"/>
                <w:sz w:val="16"/>
                <w:szCs w:val="16"/>
              </w:rPr>
              <w:t xml:space="preserve">&lt; 3 minutes</w:t>
            </w:r>
          </w:p>
        </w:tc>
        <w:tc>
          <w:tcPr>
            <w:tcBorders>
              <w:bottom w:val="single" w:color="ffffff" w:sz="6" w:space="0"/>
            </w:tcBorders>
            <w:shd w:val="clear" w:fill="DAE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/>
            </w:pPr>
            <w:r>
              <w:rPr>
                <w:rFonts w:ascii="Century Gothic" w:hAnsi="Century Gothic" w:cs="Century Gothic"/>
                <w:sz w:val="16"/>
                <w:szCs w:val="16"/>
              </w:rPr>
              <w:t xml:space="preserve">114</w:t>
            </w:r>
          </w:p>
        </w:tc>
      </w:tr>
      <w:tr>
        <w:trPr/>
        <w:tc>
          <w:tcPr>
            <w:tcBorders>
              <w:bottom w:val="single" w:color="DAE2F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/>
            </w:pPr>
            <w:r>
              <w:rPr>
                <w:rFonts w:ascii="Century Gothic" w:hAnsi="Century Gothic" w:cs="Century Gothic"/>
                <w:sz w:val="16"/>
                <w:szCs w:val="16"/>
              </w:rPr>
              <w:t xml:space="preserve">3 - 5 minutes</w:t>
            </w:r>
          </w:p>
        </w:tc>
        <w:tc>
          <w:tcPr>
            <w:tcBorders>
              <w:bottom w:val="single" w:color="DAE2F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/>
            </w:pPr>
            <w:r>
              <w:rPr>
                <w:rFonts w:ascii="Century Gothic" w:hAnsi="Century Gothic" w:cs="Century Gothic"/>
                <w:sz w:val="16"/>
                <w:szCs w:val="16"/>
              </w:rPr>
              <w:t xml:space="preserve">62</w:t>
            </w:r>
          </w:p>
        </w:tc>
      </w:tr>
      <w:tr>
        <w:trPr/>
        <w:tc>
          <w:tcPr>
            <w:shd w:val="clear" w:fill="DAE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/>
            </w:pPr>
            <w:r>
              <w:rPr>
                <w:rFonts w:ascii="Century Gothic" w:hAnsi="Century Gothic" w:cs="Century Gothic"/>
                <w:sz w:val="16"/>
                <w:szCs w:val="16"/>
              </w:rPr>
              <w:t xml:space="preserve">5 - 10 minutes</w:t>
            </w:r>
          </w:p>
        </w:tc>
        <w:tc>
          <w:tcPr>
            <w:shd w:val="clear" w:fill="DAE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/>
            </w:pPr>
            <w:r>
              <w:rPr>
                <w:rFonts w:ascii="Century Gothic" w:hAnsi="Century Gothic" w:cs="Century Gothic"/>
                <w:sz w:val="16"/>
                <w:szCs w:val="16"/>
              </w:rPr>
              <w:t xml:space="preserve">48</w:t>
            </w:r>
          </w:p>
        </w:tc>
      </w:tr>
      <w:tr>
        <w:trPr/>
        <w:tc>
          <w:tcPr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/>
            </w:pPr>
            <w:r>
              <w:rPr>
                <w:rFonts w:ascii="Century Gothic" w:hAnsi="Century Gothic" w:cs="Century Gothic"/>
                <w:sz w:val="16"/>
                <w:szCs w:val="16"/>
              </w:rPr>
              <w:t xml:space="preserve">&gt; 10 minutes</w:t>
            </w:r>
          </w:p>
        </w:tc>
        <w:tc>
          <w:tcPr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/>
            </w:pPr>
            <w:r>
              <w:rPr>
                <w:rFonts w:ascii="Century Gothic" w:hAnsi="Century Gothic" w:cs="Century Gothic"/>
                <w:sz w:val="16"/>
                <w:szCs w:val="16"/>
              </w:rPr>
              <w:t xml:space="preserve">75</w:t>
            </w:r>
          </w:p>
        </w:tc>
      </w:tr>
      <w:tr>
        <w:trPr/>
        <w:tc>
          <w:tcPr>
            <w:shd w:val="clear" w:fill="DAE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/>
            </w:pPr>
            <w:r>
              <w:rPr>
                <w:rFonts w:ascii="Century Gothic" w:hAnsi="Century Gothic" w:cs="Century Gothic"/>
                <w:sz w:val="16"/>
                <w:szCs w:val="16"/>
              </w:rPr>
              <w:t xml:space="preserve">No response</w:t>
            </w:r>
          </w:p>
        </w:tc>
        <w:tc>
          <w:tcPr>
            <w:shd w:val="clear" w:fill="DAE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/>
            </w:pPr>
            <w:r>
              <w:rPr>
                <w:rFonts w:ascii="Century Gothic" w:hAnsi="Century Gothic" w:cs="Century Gothic"/>
                <w:sz w:val="16"/>
                <w:szCs w:val="16"/>
              </w:rPr>
              <w:t xml:space="preserve">8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45254ed968d19d63"/>
      <w:headerReference xmlns:r="http://schemas.openxmlformats.org/officeDocument/2006/relationships" w:type="default" r:id="rId517754ed968d197c4"/>
      <w:pgSz w:w="12240" w:h="15840" w:orient="portrait" w:code="1"/>
      <w:pgMar w:top="1417" w:right="960.779527559" w:bottom="1417" w:left="960.779527559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rect style="width:500pt;height:5pt;z-index:40088;" fillcolor="#49C44D" strokecolor="#49C44D"/>
      </w:pict>
    </w:r>
  </w:p>
  <w:tbl>
    <w:tblPr>
      <w:tblStyle w:val="TableGridPHPDOCX"/>
      <w:tblOverlap w:val="never"/>
      <w:tblW w:w="0" w:type="auto"/>
      <w:jc w:val="center"/>
      <w:tblBorders>
        <w:top w:val="nil" w:sz="6" w:space="0" w:color="auto"/>
        <w:left w:val="nil" w:sz="6" w:space="0" w:color="auto"/>
        <w:bottom w:val="nil" w:sz="6" w:space="0" w:color="auto"/>
        <w:right w:val="nil" w:sz="6" w:space="0" w:color="auto"/>
        <w:insideH w:val="nil" w:sz="6" w:space="0" w:color="auto"/>
        <w:insideV w:val="nil" w:sz="6" w:space="0" w:color="auto"/>
      </w:tblBorders>
    </w:tblPr>
    <w:tblGrid>
      <w:gridCol w:w="5100"/>
      <w:gridCol w:w="4900"/>
    </w:tblGrid>
    <w:tr>
      <w:trPr/>
      <w:tc>
        <w:tcPr>
          <w:tcW w:w="5100" w:type="dxa"/>
          <w:vAlign w:val="center"/>
        </w:tcPr>
        <w:p>
          <w:pPr>
            <w:jc w:val="left"/>
            <w:rPr>
              <w:rFonts w:ascii="Century Gothic" w:hAnsi="Century Gothic" w:cs="Century Gothic"/>
              <w:sz w:val="18"/>
              <w:szCs w:val="18"/>
            </w:rPr>
          </w:pPr>
          <w:r>
            <w:rPr>
              <w:rFonts w:ascii="Century Gothic" w:hAnsi="Century Gothic" w:cs="Century Gothic"/>
              <w:sz w:val="18"/>
              <w:szCs w:val="18"/>
            </w:rPr>
            <w:t xml:space="preserve">Phpdocx</w:t>
          </w:r>
        </w:p>
      </w:tc>
      <w:tc>
        <w:tcPr>
          <w:tcW w:w="4900" w:type="dxa"/>
          <w:vAlign w:val="center"/>
        </w:tcPr>
        <w:p>
          <w:pPr>
            <w:jc w:val="right"/>
            <w:rPr>
              <w:rFonts w:ascii="Century Gothic" w:hAnsi="Century Gothic" w:cs="Century Gothic"/>
              <w:sz w:val="20"/>
              <w:szCs w:val="20"/>
            </w:rPr>
          </w:pPr>
          <w:fldSimple w:instr="PAGE \* MERGEFORMAT">
            <w:r>
              <w:rPr>
                <w:rFonts w:ascii="Century Gothic" w:hAnsi="Century Gothic" w:cs="Century Gothic"/>
                <w:sz w:val="20"/>
                <w:szCs w:val="20"/>
              </w:rPr>
              <w:t xml:space="preserve">1</w:t>
            </w:r>
          </w:fldSimple>
        </w:p>
      </w:tc>
    </w:tr>
  </w:tbl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PHPDOCX"/>
      <w:tblOverlap w:val="never"/>
      <w:tblW w:w="0" w:type="auto"/>
      <w:jc w:val="right"/>
      <w:tblBorders>
        <w:top w:val="nil" w:sz="6" w:space="0" w:color="auto"/>
        <w:left w:val="nil" w:sz="6" w:space="0" w:color="auto"/>
        <w:bottom w:val="nil" w:sz="6" w:space="0" w:color="auto"/>
        <w:right w:val="nil" w:sz="6" w:space="0" w:color="auto"/>
        <w:insideH w:val="nil" w:sz="6" w:space="0" w:color="auto"/>
        <w:insideV w:val="nil" w:sz="6" w:space="0" w:color="auto"/>
      </w:tblBorders>
    </w:tblPr>
    <w:tblGrid>
      <w:gridCol w:w="1500"/>
      <w:gridCol w:w="1500"/>
    </w:tblGrid>
    <w:tr>
      <w:trPr/>
      <w:tc>
        <w:tcPr>
          <w:tcW w:w="1500" w:type="dxa"/>
          <w:vAlign w:val="center"/>
        </w:tcPr>
        <w:p>
          <w:pPr>
            <w:rPr>
              <w:rFonts w:ascii="Century Gothic" w:hAnsi="Century Gothic" w:cs="Century Gothic"/>
              <w:sz w:val="20"/>
              <w:szCs w:val="20"/>
            </w:rPr>
          </w:pPr>
          <w:r>
            <w:rPr>
              <w:rFonts w:ascii="Century Gothic" w:hAnsi="Century Gothic" w:cs="Century Gothic"/>
              <w:sz w:val="20"/>
              <w:szCs w:val="20"/>
            </w:rPr>
            <w:t xml:space="preserve">Demographics</w:t>
          </w:r>
        </w:p>
      </w:tc>
      <w:tc>
        <w:tcPr>
          <w:tcW w:w="1500" w:type="dxa"/>
          <w:shd w:val="clear" w:fill="B8CC7C"/>
          <w:vAlign w:val="center"/>
        </w:tcPr>
        <w:p>
          <w:pPr>
            <w:jc w:val="left"/>
            <w:rPr>
              <w:rFonts w:ascii="Century Gothic" w:hAnsi="Century Gothic" w:cs="Century Gothic"/>
              <w:color w:val="ffffff"/>
              <w:sz w:val="20"/>
              <w:szCs w:val="20"/>
            </w:rPr>
          </w:pPr>
          <w:fldSimple w:instr="PAGE \* MERGEFORMAT">
            <w:r>
              <w:rPr>
                <w:rFonts w:ascii="Century Gothic" w:hAnsi="Century Gothic" w:cs="Century Gothic"/>
                <w:color w:val="ffffff"/>
                <w:sz w:val="20"/>
                <w:szCs w:val="20"/>
              </w:rPr>
              <w:t xml:space="preserve">1</w:t>
            </w:r>
          </w:fldSimple>
        </w:p>
      </w:tc>
    </w:tr>
  </w:tbl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611923">
    <w:multiLevelType w:val="hybridMultilevel"/>
    <w:lvl w:ilvl="0" w:tplc="41712299">
      <w:start w:val="1"/>
      <w:numFmt w:val="decimal"/>
      <w:lvlText w:val="%1."/>
      <w:lvlJc w:val="left"/>
      <w:pPr>
        <w:ind w:left="720" w:hanging="360"/>
      </w:pPr>
    </w:lvl>
    <w:lvl w:ilvl="1" w:tplc="41712299" w:tentative="1">
      <w:start w:val="1"/>
      <w:numFmt w:val="lowerLetter"/>
      <w:lvlText w:val="%2."/>
      <w:lvlJc w:val="left"/>
      <w:pPr>
        <w:ind w:left="1440" w:hanging="360"/>
      </w:pPr>
    </w:lvl>
    <w:lvl w:ilvl="2" w:tplc="41712299" w:tentative="1">
      <w:start w:val="1"/>
      <w:numFmt w:val="lowerRoman"/>
      <w:lvlText w:val="%3."/>
      <w:lvlJc w:val="right"/>
      <w:pPr>
        <w:ind w:left="2160" w:hanging="180"/>
      </w:pPr>
    </w:lvl>
    <w:lvl w:ilvl="3" w:tplc="41712299" w:tentative="1">
      <w:start w:val="1"/>
      <w:numFmt w:val="decimal"/>
      <w:lvlText w:val="%4."/>
      <w:lvlJc w:val="left"/>
      <w:pPr>
        <w:ind w:left="2880" w:hanging="360"/>
      </w:pPr>
    </w:lvl>
    <w:lvl w:ilvl="4" w:tplc="41712299" w:tentative="1">
      <w:start w:val="1"/>
      <w:numFmt w:val="lowerLetter"/>
      <w:lvlText w:val="%5."/>
      <w:lvlJc w:val="left"/>
      <w:pPr>
        <w:ind w:left="3600" w:hanging="360"/>
      </w:pPr>
    </w:lvl>
    <w:lvl w:ilvl="5" w:tplc="41712299" w:tentative="1">
      <w:start w:val="1"/>
      <w:numFmt w:val="lowerRoman"/>
      <w:lvlText w:val="%6."/>
      <w:lvlJc w:val="right"/>
      <w:pPr>
        <w:ind w:left="4320" w:hanging="180"/>
      </w:pPr>
    </w:lvl>
    <w:lvl w:ilvl="6" w:tplc="41712299" w:tentative="1">
      <w:start w:val="1"/>
      <w:numFmt w:val="decimal"/>
      <w:lvlText w:val="%7."/>
      <w:lvlJc w:val="left"/>
      <w:pPr>
        <w:ind w:left="5040" w:hanging="360"/>
      </w:pPr>
    </w:lvl>
    <w:lvl w:ilvl="7" w:tplc="41712299" w:tentative="1">
      <w:start w:val="1"/>
      <w:numFmt w:val="lowerLetter"/>
      <w:lvlText w:val="%8."/>
      <w:lvlJc w:val="left"/>
      <w:pPr>
        <w:ind w:left="5760" w:hanging="360"/>
      </w:pPr>
    </w:lvl>
    <w:lvl w:ilvl="8" w:tplc="417122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611922">
    <w:multiLevelType w:val="hybridMultilevel"/>
    <w:lvl w:ilvl="0" w:tplc="332659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611922">
    <w:abstractNumId w:val="80611922"/>
  </w:num>
  <w:num w:numId="80611923">
    <w:abstractNumId w:val="806119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17754ed968d197c4" Type="http://schemas.openxmlformats.org/officeDocument/2006/relationships/header" Target="defaultHeader.xml"/><Relationship Id="rId445254ed968d19d63" Type="http://schemas.openxmlformats.org/officeDocument/2006/relationships/footer" Target="defaultFooter.xml"/><Relationship Id="rId28058365" Type="http://schemas.openxmlformats.org/officeDocument/2006/relationships/image" Target="media/imgrId28058365.jpg"/><Relationship Id="rId28058366" Type="http://schemas.openxmlformats.org/officeDocument/2006/relationships/chart" Target="charts/chart28058366.xml"/><Relationship Id="rId28058367" Type="http://schemas.openxmlformats.org/officeDocument/2006/relationships/chart" Target="charts/chart28058367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28058366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28058366.xlsx"></Relationship></Relationships>
</file>

<file path=word/charts/_rels/chart28058367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28058367.xlsx"></Relationship></Relationships>
</file>

<file path=word/charts/chart2805836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Survey respondents by age and gender</a:t>
            </a:r>
          </a:p>
        </c:rich>
      </c:tx>
      <c:overlay val="0"/>
    </c:title>
    <c:plotArea>
      <c:layout/>
      <c:barChart>
        <c:barDir val="col"/>
        <c:grouping val="standard"/>
        <c:varyColors val="0"/>
        <c:ser>
          <c:idx val="0"/>
          <c:order val="0"/>
          <c:tx>
            <c:strRef>
              <c:f> Sheet1!$B$1</c:f>
              <c:strCache>
                <c:ptCount val="1"/>
                <c:pt idx="0">
                  <c:v>Female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Under Age 18</c:v>
                </c:pt>
                <c:pt idx="1">
                  <c:v>Age 18-44</c:v>
                </c:pt>
                <c:pt idx="2">
                  <c:v>Age 45-64</c:v>
                </c:pt>
                <c:pt idx="3">
                  <c:v>Age 65 +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26</c:v>
                </c:pt>
                <c:pt idx="1">
                  <c:v>63</c:v>
                </c:pt>
                <c:pt idx="2">
                  <c:v>43</c:v>
                </c:pt>
                <c:pt idx="3">
                  <c:v>27</c:v>
                </c:pt>
              </c:numCache>
            </c:numRef>
          </c:val>
        </c:ser>
        <c:ser>
          <c:idx val="1"/>
          <c:order val="1"/>
          <c:tx>
            <c:strRef>
              <c:f> Sheet1!$C$1</c:f>
              <c:strCache>
                <c:ptCount val="1"/>
                <c:pt idx="0">
                  <c:v>Male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Under Age 18</c:v>
                </c:pt>
                <c:pt idx="1">
                  <c:v>Age 18-44</c:v>
                </c:pt>
                <c:pt idx="2">
                  <c:v>Age 45-64</c:v>
                </c:pt>
                <c:pt idx="3">
                  <c:v>Age 65 +</c:v>
                </c:pt>
              </c:strCache>
            </c:strRef>
          </c:cat>
          <c:val>
            <c:numRef>
              <c:f>Sheet1!$C$2:$B$5</c:f>
              <c:numCache>
                <c:formatCode>General</c:formatCode>
                <c:ptCount val="4"/>
                <c:pt idx="0">
                  <c:v>32</c:v>
                </c:pt>
                <c:pt idx="1">
                  <c:v>67</c:v>
                </c:pt>
                <c:pt idx="2">
                  <c:v>25</c:v>
                </c:pt>
                <c:pt idx="3">
                  <c:v>30</c:v>
                </c:pt>
              </c:numCache>
            </c:numRef>
          </c:val>
        </c:ser>
        <c:ser>
          <c:idx val="2"/>
          <c:order val="2"/>
          <c:tx>
            <c:strRef>
              <c:f> Sheet1!$D$1</c:f>
              <c:strCache>
                <c:ptCount val="1"/>
                <c:pt idx="0">
                  <c:v>Not Specifed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Under Age 18</c:v>
                </c:pt>
                <c:pt idx="1">
                  <c:v>Age 18-44</c:v>
                </c:pt>
                <c:pt idx="2">
                  <c:v>Age 45-64</c:v>
                </c:pt>
                <c:pt idx="3">
                  <c:v>Age 65 +</c:v>
                </c:pt>
              </c:strCache>
            </c:strRef>
          </c:cat>
          <c:val>
            <c:numRef>
              <c:f>Sheet1!$D$2:$B$5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shape val="box"/>
        <c:axId val="59034624"/>
        <c:axId val="59040512"/>
      </c:barChart>
      <c:catAx>
        <c:axId val="59034624"/>
        <c:scaling>
          <c:orientation val="minMax"/>
        </c:scaling>
        <c:delete val="0"/>
        <c:axPos val="b"/>
        <c:tickLblPos val="nextTo"/>
        <c:crossAx val="59040512"/>
        <c:crosses val="autoZero"/>
        <c:auto val="1"/>
        <c:lblAlgn val="ctr"/>
        <c:lblOffset val="100"/>
      </c:catAx>
      <c:valAx>
        <c:axId val="59040512"/>
        <c:scaling>
          <c:orientation val="minMax"/>
        </c:scaling>
        <c:delete val="0"/>
        <c:axPos val="l"/>
        <c:majorGridlines/>
        <c:numFmt formatCode="General" sourceLinked="1"/>
        <c:tickLblPos val="nextTo"/>
        <c:crossAx val="59034624"/>
        <c:crosses val="autoZero"/>
        <c:crossBetween val="between"/>
      </c:valAx>
    </c:plotArea>
    <c:legend>
      <c:legendPos val="r"/>
      <c:overlay val="0"/>
    </c:legend>
    <c:plotVisOnly val="1"/>
  </c:chart>
  <c:spPr>
    <a:ln>
      <a:noFill/>
    </a:ln>
  </c:spPr>
  <c:txPr>
    <a:bodyPr/>
    <a:lstStyle/>
    <a:p>
      <a:pPr rtl="0">
        <a:defRPr>
          <a:latin typeface="Century Gothic" pitchFamily="34" charset="0"/>
          <a:cs typeface="Century Gothic" pitchFamily="34" charset="0"/>
        </a:defRPr>
      </a:pPr>
      <a:endParaRPr lang="es-ES_tradnl"/>
    </a:p>
  </c:txPr>
  <c:externalData r:id="rId1"/>
</c:chartSpace>
</file>

<file path=word/charts/chart2805836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Assistance</a:t>
            </a:r>
          </a:p>
        </c:rich>
      </c:tx>
      <c:overlay val="0"/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Assistance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Good</c:v>
                </c:pt>
                <c:pt idx="1">
                  <c:v>Very Good</c:v>
                </c:pt>
                <c:pt idx="2">
                  <c:v>Excellent</c:v>
                </c:pt>
                <c:pt idx="3">
                  <c:v>Bad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23</c:v>
                </c:pt>
                <c:pt idx="1">
                  <c:v>10</c:v>
                </c:pt>
                <c:pt idx="2">
                  <c:v>9</c:v>
                </c:pt>
                <c:pt idx="3">
                  <c:v>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firstSliceAng val="0"/>
      </c:pieChart>
    </c:plotArea>
    <c:legend>
      <c:legendPos val="r"/>
      <c:overlay val="0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